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jc w:val="center"/>
        <w:rPr>
          <w:b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990517</wp:posOffset>
                </wp:positionH>
                <wp:positionV relativeFrom="page">
                  <wp:posOffset>904737</wp:posOffset>
                </wp:positionV>
                <wp:extent cx="1875472" cy="567672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75472" cy="5676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77.99pt;mso-position-horizontal:absolute;mso-position-vertical-relative:page;margin-top:71.24pt;mso-position-vertical:absolute;width:147.67pt;height:44.70pt;mso-wrap-distance-left:9.00pt;mso-wrap-distance-top:0.00pt;mso-wrap-distance-right:9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jc w:val="right"/>
        <w:tabs>
          <w:tab w:val="center" w:pos="4677" w:leader="none"/>
          <w:tab w:val="right" w:pos="9355" w:leader="none"/>
        </w:tabs>
        <w:rPr>
          <w:rStyle w:val="848"/>
        </w:rPr>
      </w:pPr>
      <w:r>
        <w:rPr>
          <w:rStyle w:val="848"/>
        </w:rPr>
        <w:t xml:space="preserve">ГРУППА КОМПАНИЙ "АВАНГАРД"</w:t>
      </w:r>
      <w:r>
        <w:rPr>
          <w:rStyle w:val="848"/>
        </w:rPr>
      </w:r>
      <w:r>
        <w:rPr>
          <w:rStyle w:val="848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634006 г.</w:t>
      </w:r>
      <w:r>
        <w:rPr>
          <w:sz w:val="20"/>
          <w:szCs w:val="20"/>
        </w:rPr>
        <w:t xml:space="preserve"> Томск, ул. Пушкина, 52Е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E</w:t>
      </w:r>
      <w:r>
        <w:rPr>
          <w:sz w:val="20"/>
          <w:szCs w:val="20"/>
        </w:rPr>
        <w:t xml:space="preserve">-</w:t>
      </w:r>
      <w:r>
        <w:rPr>
          <w:sz w:val="20"/>
          <w:szCs w:val="20"/>
          <w:lang w:val="en-US"/>
        </w:rPr>
        <w:t xml:space="preserve"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 xml:space="preserve">sale</w:t>
      </w:r>
      <w:r>
        <w:rPr>
          <w:sz w:val="20"/>
          <w:szCs w:val="20"/>
        </w:rPr>
        <w:t xml:space="preserve">1@</w:t>
      </w:r>
      <w:r>
        <w:rPr>
          <w:sz w:val="20"/>
          <w:szCs w:val="20"/>
          <w:lang w:val="en-US"/>
        </w:rPr>
        <w:t xml:space="preserve">avangard</w:t>
      </w:r>
      <w:r>
        <w:rPr>
          <w:sz w:val="20"/>
          <w:szCs w:val="20"/>
        </w:rPr>
        <w:t xml:space="preserve">54.</w:t>
      </w:r>
      <w:r>
        <w:rPr>
          <w:sz w:val="20"/>
          <w:szCs w:val="20"/>
          <w:lang w:val="en-US"/>
        </w:rPr>
        <w:t xml:space="preserve">ru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+7(960)970-62-22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36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/>
      <w:bookmarkStart w:id="0" w:name="_Hlk176252444"/>
      <w:r>
        <w:rPr>
          <w:b/>
        </w:rPr>
        <w:t xml:space="preserve">Прайс на аренду грязезащитных ковров, производства </w:t>
      </w:r>
      <w:r>
        <w:rPr>
          <w:b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«</w:t>
      </w:r>
      <w:r>
        <w:rPr>
          <w:b/>
        </w:rPr>
        <w:t xml:space="preserve">Милликен</w:t>
      </w:r>
      <w:r>
        <w:rPr>
          <w:b/>
        </w:rPr>
        <w:t xml:space="preserve"> WOW ORIGINAL</w:t>
      </w:r>
      <w:r>
        <w:rPr>
          <w:b/>
        </w:rPr>
        <w:t xml:space="preserve">»</w:t>
      </w:r>
      <w:r>
        <w:rPr>
          <w:b/>
        </w:rPr>
      </w:r>
      <w:r>
        <w:rPr>
          <w:b/>
          <w:bCs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pPr w:horzAnchor="margin" w:tblpXSpec="center" w:vertAnchor="text" w:tblpY="170" w:leftFromText="180" w:topFromText="0" w:rightFromText="180" w:bottomFromText="0"/>
        <w:tblW w:w="9334" w:type="dxa"/>
        <w:tblLook w:val="0000" w:firstRow="0" w:lastRow="0" w:firstColumn="0" w:lastColumn="0" w:noHBand="0" w:noVBand="0"/>
      </w:tblPr>
      <w:tblGrid>
        <w:gridCol w:w="2397"/>
        <w:gridCol w:w="2211"/>
        <w:gridCol w:w="2527"/>
        <w:gridCol w:w="2199"/>
      </w:tblGrid>
      <w:tr>
        <w:trPr>
          <w:trHeight w:val="29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239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Размер ворсового грязезащитного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211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замен в неделю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2527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Цена за одну замену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(без НДС)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199" w:type="dxa"/>
            <w:vAlign w:val="bottom"/>
            <w:vMerge w:val="restart"/>
            <w:textDirection w:val="lrTb"/>
            <w:noWrap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за 4 недели (без НДС)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39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мата, м.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21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52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19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0,85х 1,50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21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5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313,00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1252,00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6"/>
        </w:trPr>
        <w:tc>
          <w:tcPr>
            <w:shd w:val="clear" w:color="auto" w:fill="auto"/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21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5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195,00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1560,00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6"/>
        </w:trPr>
        <w:tc>
          <w:tcPr>
            <w:shd w:val="clear" w:color="auto" w:fill="auto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21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5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157,00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1884,00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/>
            <w:bookmarkStart w:id="1" w:name="_Hlk157694599"/>
            <w:r>
              <w:rPr>
                <w:b/>
                <w:bCs/>
              </w:rPr>
              <w:t xml:space="preserve">1,15х 1,80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1976,00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3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2892,00</w:t>
            </w:r>
            <w:bookmarkEnd w:id="1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1,15х </w:t>
            </w:r>
            <w:r>
              <w:rPr>
                <w:b/>
                <w:bCs/>
              </w:rPr>
              <w:t xml:space="preserve">2,00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1976,00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9"/>
        </w:trPr>
        <w:tc>
          <w:tcPr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2892,00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8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1,15х 2,40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9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1"/>
        </w:trPr>
        <w:tc>
          <w:tcPr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9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/>
            <w:bookmarkStart w:id="2" w:name="_Hlk157694545"/>
            <w:r>
              <w:rPr>
                <w:b/>
              </w:rPr>
              <w:t xml:space="preserve">1,50х 2,50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2280,00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3264,00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6"/>
        </w:trPr>
        <w:tc>
          <w:tcPr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3612,00</w:t>
            </w:r>
            <w:bookmarkEnd w:id="2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09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b/>
                <w:bCs/>
                <w:color w:val="2d2d2d"/>
                <w:sz w:val="22"/>
                <w:szCs w:val="22"/>
                <w:highlight w:val="white"/>
              </w:rPr>
            </w:pPr>
            <w:r>
              <w:rPr>
                <w:b/>
              </w:rPr>
              <w:t xml:space="preserve">1,50х 3,00</w:t>
            </w:r>
            <w:r>
              <w:rPr>
                <w:b/>
                <w:bCs/>
                <w:color w:val="2d2d2d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683,00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2732,00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</w:tr>
      <w:tr>
        <w:trPr>
          <w:trHeight w:val="103"/>
        </w:trPr>
        <w:tc>
          <w:tcPr>
            <w:tcBorders>
              <w:left w:val="single" w:color="auto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  <w:color w:val="2d2d2d"/>
                <w:sz w:val="22"/>
                <w:szCs w:val="22"/>
                <w:highlight w:val="white"/>
              </w:rPr>
            </w:pPr>
            <w:r>
              <w:rPr>
                <w:b/>
                <w:color w:val="2d2d2d"/>
                <w:sz w:val="22"/>
                <w:szCs w:val="22"/>
                <w:highlight w:val="white"/>
              </w:rPr>
            </w:r>
            <w:r>
              <w:rPr>
                <w:b/>
                <w:color w:val="2d2d2d"/>
                <w:sz w:val="22"/>
                <w:szCs w:val="22"/>
                <w:highlight w:val="white"/>
              </w:rPr>
            </w:r>
            <w:r>
              <w:rPr>
                <w:b/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489,00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3912,00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</w:tr>
      <w:tr>
        <w:trPr>
          <w:trHeight w:val="207"/>
        </w:trPr>
        <w:tc>
          <w:tcPr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3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  <w:color w:val="2d2d2d"/>
                <w:sz w:val="22"/>
                <w:szCs w:val="22"/>
                <w:highlight w:val="white"/>
              </w:rPr>
            </w:pPr>
            <w:r>
              <w:rPr>
                <w:b/>
                <w:color w:val="2d2d2d"/>
                <w:sz w:val="22"/>
                <w:szCs w:val="22"/>
                <w:highlight w:val="white"/>
              </w:rPr>
            </w:r>
            <w:r>
              <w:rPr>
                <w:b/>
                <w:color w:val="2d2d2d"/>
                <w:sz w:val="22"/>
                <w:szCs w:val="22"/>
                <w:highlight w:val="white"/>
              </w:rPr>
            </w:r>
            <w:r>
              <w:rPr>
                <w:b/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1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362,00</w:t>
            </w:r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99" w:type="dxa"/>
            <w:vAlign w:val="center"/>
            <w:textDirection w:val="lrTb"/>
            <w:noWrap/>
          </w:tcPr>
          <w:p>
            <w:pPr>
              <w:jc w:val="center"/>
              <w:shd w:val="clear" w:color="auto" w:fill="ffffff"/>
              <w:rPr>
                <w:color w:val="2d2d2d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4344,00</w:t>
            </w:r>
            <w:bookmarkEnd w:id="0"/>
            <w:r>
              <w:rPr>
                <w:color w:val="2d2d2d"/>
                <w:sz w:val="22"/>
                <w:szCs w:val="22"/>
                <w:highlight w:val="white"/>
              </w:rPr>
            </w:r>
            <w:r>
              <w:rPr>
                <w:color w:val="2d2d2d"/>
                <w:sz w:val="22"/>
                <w:szCs w:val="22"/>
                <w:highlight w:val="white"/>
              </w:rPr>
            </w:r>
          </w:p>
        </w:tc>
      </w:tr>
    </w:tbl>
    <w:p>
      <w:pPr>
        <w:jc w:val="both"/>
        <w:spacing w:after="300"/>
        <w:shd w:val="clear" w:color="auto" w:fill="ffffff"/>
        <w:rPr>
          <w:color w:val="2d2d2d"/>
          <w:sz w:val="22"/>
          <w:szCs w:val="22"/>
          <w:highlight w:val="white"/>
        </w:rPr>
      </w:pPr>
      <w:r>
        <w:rPr>
          <w:color w:val="2d2d2d"/>
          <w:sz w:val="22"/>
          <w:szCs w:val="22"/>
          <w:highlight w:val="white"/>
        </w:rPr>
      </w:r>
      <w:r>
        <w:rPr>
          <w:color w:val="2d2d2d"/>
          <w:sz w:val="22"/>
          <w:szCs w:val="22"/>
          <w:highlight w:val="white"/>
        </w:rPr>
      </w:r>
      <w:r>
        <w:rPr>
          <w:color w:val="2d2d2d"/>
          <w:sz w:val="22"/>
          <w:szCs w:val="22"/>
          <w:highlight w:val="whit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____________Мурашкин С.Е.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8"/>
    <w:link w:val="82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8"/>
    <w:link w:val="82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8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8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8"/>
    <w:link w:val="827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8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1"/>
    <w:next w:val="821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8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1"/>
    <w:next w:val="821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8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1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28"/>
    <w:link w:val="832"/>
    <w:uiPriority w:val="10"/>
    <w:rPr>
      <w:sz w:val="48"/>
      <w:szCs w:val="48"/>
    </w:rPr>
  </w:style>
  <w:style w:type="character" w:styleId="669">
    <w:name w:val="Subtitle Char"/>
    <w:basedOn w:val="828"/>
    <w:link w:val="841"/>
    <w:uiPriority w:val="11"/>
    <w:rPr>
      <w:sz w:val="24"/>
      <w:szCs w:val="24"/>
    </w:rPr>
  </w:style>
  <w:style w:type="paragraph" w:styleId="670">
    <w:name w:val="Quote"/>
    <w:basedOn w:val="821"/>
    <w:next w:val="821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1"/>
    <w:next w:val="821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character" w:styleId="674">
    <w:name w:val="Header Char"/>
    <w:basedOn w:val="828"/>
    <w:link w:val="834"/>
    <w:uiPriority w:val="99"/>
  </w:style>
  <w:style w:type="character" w:styleId="675">
    <w:name w:val="Footer Char"/>
    <w:basedOn w:val="828"/>
    <w:link w:val="836"/>
    <w:uiPriority w:val="99"/>
  </w:style>
  <w:style w:type="paragraph" w:styleId="67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836"/>
    <w:uiPriority w:val="99"/>
  </w:style>
  <w:style w:type="table" w:styleId="678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8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8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paragraph" w:styleId="822">
    <w:name w:val="Heading 1"/>
    <w:basedOn w:val="821"/>
    <w:next w:val="821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23">
    <w:name w:val="Heading 2"/>
    <w:basedOn w:val="821"/>
    <w:next w:val="821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24">
    <w:name w:val="Heading 3"/>
    <w:basedOn w:val="821"/>
    <w:next w:val="821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25">
    <w:name w:val="Heading 4"/>
    <w:basedOn w:val="821"/>
    <w:next w:val="821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826">
    <w:name w:val="Heading 5"/>
    <w:basedOn w:val="821"/>
    <w:next w:val="821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27">
    <w:name w:val="Heading 6"/>
    <w:basedOn w:val="821"/>
    <w:next w:val="82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2">
    <w:name w:val="Title"/>
    <w:basedOn w:val="821"/>
    <w:next w:val="82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33">
    <w:name w:val="Normal (Web)"/>
    <w:basedOn w:val="821"/>
    <w:uiPriority w:val="99"/>
    <w:pPr>
      <w:spacing w:before="100" w:beforeAutospacing="1" w:after="100" w:afterAutospacing="1"/>
    </w:pPr>
  </w:style>
  <w:style w:type="paragraph" w:styleId="834">
    <w:name w:val="Header"/>
    <w:basedOn w:val="821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28"/>
    <w:link w:val="8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Footer"/>
    <w:basedOn w:val="821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28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Normal9"/>
    <w:rPr>
      <w:sz w:val="18"/>
      <w:szCs w:val="18"/>
    </w:rPr>
  </w:style>
  <w:style w:type="character" w:styleId="839">
    <w:name w:val="Hyperlink"/>
    <w:basedOn w:val="828"/>
    <w:uiPriority w:val="99"/>
    <w:unhideWhenUsed/>
    <w:rPr>
      <w:color w:val="0563c1" w:themeColor="hyperlink"/>
      <w:u w:val="single"/>
    </w:rPr>
  </w:style>
  <w:style w:type="character" w:styleId="840">
    <w:name w:val="Unresolved Mention"/>
    <w:basedOn w:val="828"/>
    <w:uiPriority w:val="99"/>
    <w:semiHidden/>
    <w:unhideWhenUsed/>
    <w:rPr>
      <w:color w:val="605e5c"/>
      <w:shd w:val="clear" w:color="auto" w:fill="e1dfdd"/>
    </w:rPr>
  </w:style>
  <w:style w:type="paragraph" w:styleId="841">
    <w:name w:val="Subtitle"/>
    <w:basedOn w:val="821"/>
    <w:next w:val="821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2" w:customStyle="1">
    <w:name w:val="StGen0"/>
    <w:basedOn w:val="8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843" w:customStyle="1">
    <w:name w:val="Основной текст (2)_"/>
    <w:basedOn w:val="828"/>
    <w:link w:val="847"/>
    <w:rPr>
      <w:sz w:val="20"/>
      <w:szCs w:val="20"/>
      <w:shd w:val="clear" w:color="auto" w:fill="ffffff"/>
    </w:rPr>
  </w:style>
  <w:style w:type="character" w:styleId="844" w:customStyle="1">
    <w:name w:val="Основной текст (2) + 9;5 pt;Полужирный"/>
    <w:basedOn w:val="843"/>
    <w:rPr>
      <w:b/>
      <w:b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character" w:styleId="845" w:customStyle="1">
    <w:name w:val="Основной текст (2) + 15 pt;Полужирный"/>
    <w:basedOn w:val="843"/>
    <w:rPr>
      <w:b/>
      <w:bCs/>
      <w:color w:val="000000"/>
      <w:spacing w:val="0"/>
      <w:position w:val="0"/>
      <w:sz w:val="30"/>
      <w:szCs w:val="30"/>
      <w:shd w:val="clear" w:color="auto" w:fill="ffffff"/>
      <w:lang w:val="ru-RU" w:eastAsia="ru-RU" w:bidi="ru-RU"/>
    </w:rPr>
  </w:style>
  <w:style w:type="character" w:styleId="846" w:customStyle="1">
    <w:name w:val="Основной текст (2) + 13 pt"/>
    <w:basedOn w:val="843"/>
    <w:rPr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paragraph" w:styleId="847" w:customStyle="1">
    <w:name w:val="Основной текст (2)"/>
    <w:basedOn w:val="821"/>
    <w:link w:val="843"/>
    <w:pPr>
      <w:shd w:val="clear" w:color="auto" w:fill="ffffff"/>
      <w:widowControl w:val="off"/>
    </w:pPr>
    <w:rPr>
      <w:sz w:val="20"/>
      <w:szCs w:val="20"/>
    </w:rPr>
  </w:style>
  <w:style w:type="character" w:styleId="848">
    <w:name w:val="Strong"/>
    <w:basedOn w:val="82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E3vNmGvRnsp/EQB2dZUdThQTg==">CgMxLjA4AHIhMTNRdDlIUW5jOE1UUGYzTUVWMkRnc19jTEx6QTA1aGt2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DD5A4D-8141-4056-A21D-177E25A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Чиботарь</cp:lastModifiedBy>
  <cp:revision>4</cp:revision>
  <dcterms:created xsi:type="dcterms:W3CDTF">2024-09-06T04:15:00Z</dcterms:created>
  <dcterms:modified xsi:type="dcterms:W3CDTF">2024-09-06T05:03:42Z</dcterms:modified>
</cp:coreProperties>
</file>